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81D0" w14:textId="4DD6E314" w:rsidR="001D3077" w:rsidRDefault="0020731C">
      <w:r>
        <w:rPr>
          <w:noProof/>
        </w:rPr>
        <w:drawing>
          <wp:anchor distT="0" distB="0" distL="114300" distR="114300" simplePos="0" relativeHeight="251658240" behindDoc="1" locked="0" layoutInCell="1" allowOverlap="1" wp14:anchorId="4DB166B3" wp14:editId="614F4895">
            <wp:simplePos x="0" y="0"/>
            <wp:positionH relativeFrom="column">
              <wp:posOffset>3558540</wp:posOffset>
            </wp:positionH>
            <wp:positionV relativeFrom="paragraph">
              <wp:posOffset>31115</wp:posOffset>
            </wp:positionV>
            <wp:extent cx="2717250" cy="2042160"/>
            <wp:effectExtent l="0" t="0" r="0" b="0"/>
            <wp:wrapNone/>
            <wp:docPr id="325281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47095" t="8120" r="-6288" b="-8120"/>
                    <a:stretch>
                      <a:fillRect/>
                    </a:stretch>
                  </pic:blipFill>
                  <pic:spPr bwMode="auto">
                    <a:xfrm>
                      <a:off x="0" y="0"/>
                      <a:ext cx="2717250" cy="2042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CBB7911" wp14:editId="51E552BE">
            <wp:simplePos x="0" y="0"/>
            <wp:positionH relativeFrom="column">
              <wp:posOffset>1317625</wp:posOffset>
            </wp:positionH>
            <wp:positionV relativeFrom="paragraph">
              <wp:posOffset>29845</wp:posOffset>
            </wp:positionV>
            <wp:extent cx="1652270" cy="1645920"/>
            <wp:effectExtent l="0" t="0" r="0" b="0"/>
            <wp:wrapNone/>
            <wp:docPr id="28701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270" cy="1645920"/>
                    </a:xfrm>
                    <a:prstGeom prst="rect">
                      <a:avLst/>
                    </a:prstGeom>
                    <a:noFill/>
                  </pic:spPr>
                </pic:pic>
              </a:graphicData>
            </a:graphic>
          </wp:anchor>
        </w:drawing>
      </w:r>
    </w:p>
    <w:p w14:paraId="09D8853A" w14:textId="005C0D28" w:rsidR="0020731C" w:rsidRPr="0020731C" w:rsidRDefault="0020731C" w:rsidP="0020731C"/>
    <w:p w14:paraId="6F5808DF" w14:textId="5166A98A" w:rsidR="0020731C" w:rsidRPr="0020731C" w:rsidRDefault="0020731C" w:rsidP="0020731C"/>
    <w:p w14:paraId="418C6EB6" w14:textId="3DBA53CD" w:rsidR="0020731C" w:rsidRPr="0020731C" w:rsidRDefault="0020731C" w:rsidP="0020731C"/>
    <w:p w14:paraId="2105AA24" w14:textId="6D7D03E2" w:rsidR="0020731C" w:rsidRDefault="0020731C" w:rsidP="0020731C"/>
    <w:p w14:paraId="11F16E7E" w14:textId="3DB2F1F7" w:rsidR="0020731C" w:rsidRDefault="0020731C" w:rsidP="0020731C">
      <w:pPr>
        <w:tabs>
          <w:tab w:val="left" w:pos="1656"/>
        </w:tabs>
        <w:rPr>
          <w:lang w:val="en-US"/>
        </w:rPr>
      </w:pPr>
      <w:r>
        <w:tab/>
      </w:r>
    </w:p>
    <w:p w14:paraId="4B562C04" w14:textId="77777777" w:rsidR="0020731C" w:rsidRDefault="0020731C" w:rsidP="0020731C">
      <w:pPr>
        <w:tabs>
          <w:tab w:val="left" w:pos="1656"/>
        </w:tabs>
        <w:rPr>
          <w:lang w:val="en-US"/>
        </w:rPr>
      </w:pPr>
    </w:p>
    <w:p w14:paraId="14D63C2D" w14:textId="77777777" w:rsidR="0020731C" w:rsidRPr="0020731C" w:rsidRDefault="0020731C" w:rsidP="0020731C">
      <w:pPr>
        <w:jc w:val="center"/>
        <w:rPr>
          <w:rFonts w:ascii="Calibri Light" w:hAnsi="Calibri Light" w:cs="Calibri Light"/>
          <w:b/>
          <w:bCs/>
          <w:color w:val="002060"/>
        </w:rPr>
      </w:pPr>
      <w:r w:rsidRPr="0020731C">
        <w:rPr>
          <w:rFonts w:ascii="Calibri Light" w:hAnsi="Calibri Light" w:cs="Calibri Light"/>
          <w:b/>
          <w:bCs/>
          <w:color w:val="002060"/>
        </w:rPr>
        <w:t>Информация относно въвеждането на еврото и прилагането на референтни лихвени проценти</w:t>
      </w:r>
    </w:p>
    <w:p w14:paraId="79CF40BE" w14:textId="77777777" w:rsidR="0020731C" w:rsidRPr="00D2690D" w:rsidRDefault="0020731C" w:rsidP="0020731C">
      <w:pPr>
        <w:jc w:val="both"/>
        <w:rPr>
          <w:rFonts w:ascii="Calibri Light" w:hAnsi="Calibri Light" w:cs="Calibri Light"/>
          <w:color w:val="153D63" w:themeColor="text2" w:themeTint="E6"/>
          <w:lang w:val="ru-RU"/>
        </w:rPr>
      </w:pPr>
    </w:p>
    <w:p w14:paraId="563F61C3" w14:textId="77777777" w:rsidR="0020731C" w:rsidRDefault="0020731C" w:rsidP="0020731C">
      <w:pPr>
        <w:jc w:val="both"/>
        <w:rPr>
          <w:rFonts w:ascii="Calibri Light" w:hAnsi="Calibri Light" w:cs="Calibri Light"/>
          <w:color w:val="153D63" w:themeColor="text2" w:themeTint="E6"/>
        </w:rPr>
        <w:sectPr w:rsidR="0020731C" w:rsidSect="0020731C">
          <w:headerReference w:type="even" r:id="rId9"/>
          <w:headerReference w:type="default" r:id="rId10"/>
          <w:headerReference w:type="first" r:id="rId11"/>
          <w:pgSz w:w="11906" w:h="16838"/>
          <w:pgMar w:top="709" w:right="566" w:bottom="1417" w:left="426" w:header="708" w:footer="708" w:gutter="0"/>
          <w:cols w:space="708"/>
          <w:docGrid w:linePitch="360"/>
        </w:sectPr>
      </w:pPr>
    </w:p>
    <w:p w14:paraId="1EF3B448" w14:textId="77777777" w:rsidR="0020731C" w:rsidRPr="0020731C" w:rsidRDefault="0020731C" w:rsidP="0020731C">
      <w:pPr>
        <w:ind w:left="142"/>
        <w:jc w:val="both"/>
        <w:rPr>
          <w:rFonts w:ascii="Calibri Light" w:hAnsi="Calibri Light" w:cs="Calibri Light"/>
          <w:color w:val="153D63" w:themeColor="text2" w:themeTint="E6"/>
          <w:sz w:val="18"/>
          <w:szCs w:val="18"/>
          <w:lang w:val="ru-RU"/>
        </w:rPr>
      </w:pPr>
      <w:r w:rsidRPr="0020731C">
        <w:rPr>
          <w:rFonts w:ascii="Calibri Light" w:hAnsi="Calibri Light" w:cs="Calibri Light"/>
          <w:color w:val="153D63" w:themeColor="text2" w:themeTint="E6"/>
          <w:sz w:val="18"/>
          <w:szCs w:val="18"/>
        </w:rPr>
        <w:t>Считано от 01.01.2026 г. Република България въведе еврото като официална валута. В тази връзка бихме желали да Ви информираме за начина, по който промяната се отразява на Вашите договори за лизинг/кредит.</w:t>
      </w:r>
    </w:p>
    <w:p w14:paraId="0658005B" w14:textId="77777777" w:rsidR="0020731C" w:rsidRPr="0020731C" w:rsidRDefault="0020731C" w:rsidP="005C5BB9">
      <w:pPr>
        <w:spacing w:after="0" w:line="240" w:lineRule="auto"/>
        <w:jc w:val="both"/>
        <w:rPr>
          <w:rFonts w:ascii="Calibri Light" w:hAnsi="Calibri Light" w:cs="Calibri Light"/>
          <w:color w:val="153D63" w:themeColor="text2" w:themeTint="E6"/>
          <w:sz w:val="18"/>
          <w:szCs w:val="18"/>
          <w:lang w:val="ru-RU"/>
        </w:rPr>
      </w:pPr>
    </w:p>
    <w:p w14:paraId="7912607F" w14:textId="77777777" w:rsidR="0020731C" w:rsidRPr="0020731C" w:rsidRDefault="0020731C" w:rsidP="0020731C">
      <w:pPr>
        <w:jc w:val="center"/>
        <w:rPr>
          <w:rFonts w:ascii="Calibri Light" w:hAnsi="Calibri Light" w:cs="Calibri Light"/>
          <w:b/>
          <w:bCs/>
          <w:color w:val="0070C0"/>
          <w:sz w:val="18"/>
          <w:szCs w:val="18"/>
        </w:rPr>
      </w:pPr>
      <w:r w:rsidRPr="0020731C">
        <w:rPr>
          <w:rFonts w:ascii="Calibri Light" w:hAnsi="Calibri Light" w:cs="Calibri Light"/>
          <w:b/>
          <w:bCs/>
          <w:color w:val="0070C0"/>
          <w:sz w:val="18"/>
          <w:szCs w:val="18"/>
        </w:rPr>
        <w:t xml:space="preserve">1. </w:t>
      </w:r>
      <w:proofErr w:type="spellStart"/>
      <w:r w:rsidRPr="0020731C">
        <w:rPr>
          <w:rFonts w:ascii="Calibri Light" w:hAnsi="Calibri Light" w:cs="Calibri Light"/>
          <w:b/>
          <w:bCs/>
          <w:color w:val="0070C0"/>
          <w:sz w:val="18"/>
          <w:szCs w:val="18"/>
        </w:rPr>
        <w:t>Превалутиране</w:t>
      </w:r>
      <w:proofErr w:type="spellEnd"/>
      <w:r w:rsidRPr="0020731C">
        <w:rPr>
          <w:rFonts w:ascii="Calibri Light" w:hAnsi="Calibri Light" w:cs="Calibri Light"/>
          <w:b/>
          <w:bCs/>
          <w:color w:val="0070C0"/>
          <w:sz w:val="18"/>
          <w:szCs w:val="18"/>
        </w:rPr>
        <w:t xml:space="preserve"> на договорите</w:t>
      </w:r>
    </w:p>
    <w:p w14:paraId="510CE63E" w14:textId="77777777" w:rsidR="0020731C" w:rsidRPr="0020731C" w:rsidRDefault="0020731C" w:rsidP="0020731C">
      <w:pPr>
        <w:jc w:val="both"/>
        <w:rPr>
          <w:rFonts w:ascii="Calibri Light" w:hAnsi="Calibri Light" w:cs="Calibri Light"/>
          <w:color w:val="153D63" w:themeColor="text2" w:themeTint="E6"/>
          <w:sz w:val="18"/>
          <w:szCs w:val="18"/>
          <w:lang w:val="ru-RU"/>
        </w:rPr>
      </w:pPr>
      <w:r w:rsidRPr="0020731C">
        <w:rPr>
          <w:rFonts w:ascii="Calibri Light" w:hAnsi="Calibri Light" w:cs="Calibri Light"/>
          <w:color w:val="153D63" w:themeColor="text2" w:themeTint="E6"/>
          <w:sz w:val="18"/>
          <w:szCs w:val="18"/>
        </w:rPr>
        <w:t xml:space="preserve">Всички стойности по договори в лева са автоматично превалутирани в евро по курс 1 EUR = 1.95583 BGN. </w:t>
      </w:r>
      <w:proofErr w:type="spellStart"/>
      <w:r w:rsidRPr="0020731C">
        <w:rPr>
          <w:rFonts w:ascii="Calibri Light" w:hAnsi="Calibri Light" w:cs="Calibri Light"/>
          <w:color w:val="153D63" w:themeColor="text2" w:themeTint="E6"/>
          <w:sz w:val="18"/>
          <w:szCs w:val="18"/>
        </w:rPr>
        <w:t>Превалутирането</w:t>
      </w:r>
      <w:proofErr w:type="spellEnd"/>
      <w:r w:rsidRPr="0020731C">
        <w:rPr>
          <w:rFonts w:ascii="Calibri Light" w:hAnsi="Calibri Light" w:cs="Calibri Light"/>
          <w:color w:val="153D63" w:themeColor="text2" w:themeTint="E6"/>
          <w:sz w:val="18"/>
          <w:szCs w:val="18"/>
        </w:rPr>
        <w:t xml:space="preserve"> е извършено по силата на закона, без необходимост от Ваши действия, без подписване на анекси и без промяна на договорените лихвени надбавки. Към 01.01.2026 г. новият лихвен процент не е по-висок от приложимия преди въвеждането на еврото. Всички суми са закръглени до втория знак след десетичната запетая. Издаваните по договора фактури занапред ще бъдат в евро, като в законоустановения срок ще се посочва и левова равностойност. Справките ще се издават в евро.</w:t>
      </w:r>
    </w:p>
    <w:p w14:paraId="5B122B30" w14:textId="5E78B99A" w:rsidR="0020731C" w:rsidRPr="0020731C" w:rsidRDefault="0020731C" w:rsidP="0020731C">
      <w:pPr>
        <w:jc w:val="center"/>
        <w:rPr>
          <w:rFonts w:ascii="Calibri Light" w:hAnsi="Calibri Light" w:cs="Calibri Light"/>
          <w:b/>
          <w:bCs/>
          <w:color w:val="0070C0"/>
          <w:sz w:val="18"/>
          <w:szCs w:val="18"/>
        </w:rPr>
      </w:pPr>
      <w:r w:rsidRPr="0020731C">
        <w:rPr>
          <w:rFonts w:ascii="Calibri Light" w:hAnsi="Calibri Light" w:cs="Calibri Light"/>
          <w:b/>
          <w:bCs/>
          <w:color w:val="0070C0"/>
          <w:sz w:val="18"/>
          <w:szCs w:val="18"/>
        </w:rPr>
        <w:t>2. Как се определя лихвеният процент след 01.01.2026 г.</w:t>
      </w:r>
    </w:p>
    <w:p w14:paraId="630FB19E" w14:textId="77777777" w:rsidR="0020731C" w:rsidRPr="0020731C" w:rsidRDefault="0020731C" w:rsidP="0020731C">
      <w:pPr>
        <w:jc w:val="both"/>
        <w:rPr>
          <w:rFonts w:ascii="Calibri Light" w:hAnsi="Calibri Light" w:cs="Calibri Light"/>
          <w:color w:val="153D63" w:themeColor="text2" w:themeTint="E6"/>
          <w:sz w:val="18"/>
          <w:szCs w:val="18"/>
        </w:rPr>
      </w:pPr>
      <w:r w:rsidRPr="0020731C">
        <w:rPr>
          <w:rFonts w:ascii="Calibri Light" w:hAnsi="Calibri Light" w:cs="Calibri Light"/>
          <w:color w:val="153D63" w:themeColor="text2" w:themeTint="E6"/>
          <w:sz w:val="18"/>
          <w:szCs w:val="18"/>
        </w:rPr>
        <w:t>Плаващата лихва по договорите продължава да се формира като сбор от конкретно договорения референтен лихвен процент (бенчмарк) и фиксираната надбавка, която остава непроменена.</w:t>
      </w:r>
    </w:p>
    <w:p w14:paraId="6C1DEACA" w14:textId="77777777" w:rsidR="0020731C" w:rsidRPr="0020731C" w:rsidRDefault="0020731C" w:rsidP="0020731C">
      <w:pPr>
        <w:jc w:val="both"/>
        <w:rPr>
          <w:rFonts w:ascii="Calibri Light" w:hAnsi="Calibri Light" w:cs="Calibri Light"/>
          <w:color w:val="153D63" w:themeColor="text2" w:themeTint="E6"/>
          <w:sz w:val="18"/>
          <w:szCs w:val="18"/>
        </w:rPr>
      </w:pPr>
      <w:r w:rsidRPr="0020731C">
        <w:rPr>
          <w:rFonts w:ascii="Calibri Light" w:hAnsi="Calibri Light" w:cs="Calibri Light"/>
          <w:color w:val="153D63" w:themeColor="text2" w:themeTint="E6"/>
          <w:sz w:val="18"/>
          <w:szCs w:val="18"/>
        </w:rPr>
        <w:t>Ако лихвата е фиксирана също не е налице промяна.</w:t>
      </w:r>
    </w:p>
    <w:p w14:paraId="369A46DA" w14:textId="77777777" w:rsidR="0020731C" w:rsidRDefault="0020731C" w:rsidP="0020731C">
      <w:pPr>
        <w:pStyle w:val="ListParagraph"/>
        <w:spacing w:line="278" w:lineRule="auto"/>
        <w:ind w:left="360"/>
        <w:rPr>
          <w:rFonts w:ascii="Calibri Light" w:hAnsi="Calibri Light" w:cs="Calibri Light"/>
          <w:b/>
          <w:bCs/>
          <w:color w:val="153D63" w:themeColor="text2" w:themeTint="E6"/>
          <w:sz w:val="18"/>
          <w:szCs w:val="18"/>
          <w:lang w:val="en-US"/>
        </w:rPr>
      </w:pPr>
    </w:p>
    <w:p w14:paraId="74600959" w14:textId="77777777" w:rsidR="0020731C" w:rsidRPr="0020731C" w:rsidRDefault="0020731C" w:rsidP="005C5BB9">
      <w:pPr>
        <w:pStyle w:val="ListParagraph"/>
        <w:spacing w:after="0" w:line="240" w:lineRule="auto"/>
        <w:ind w:left="357"/>
        <w:jc w:val="center"/>
        <w:rPr>
          <w:rFonts w:ascii="Calibri Light" w:hAnsi="Calibri Light" w:cs="Calibri Light"/>
          <w:b/>
          <w:bCs/>
          <w:color w:val="0070C0"/>
          <w:sz w:val="18"/>
          <w:szCs w:val="18"/>
          <w:lang w:val="en-US"/>
        </w:rPr>
      </w:pPr>
      <w:r w:rsidRPr="0020731C">
        <w:rPr>
          <w:rFonts w:ascii="Calibri Light" w:hAnsi="Calibri Light" w:cs="Calibri Light"/>
          <w:b/>
          <w:bCs/>
          <w:color w:val="0070C0"/>
          <w:sz w:val="18"/>
          <w:szCs w:val="18"/>
        </w:rPr>
        <w:t>Какво се случва с лихвите по нови договори</w:t>
      </w:r>
    </w:p>
    <w:p w14:paraId="52C532E7" w14:textId="6A4BAE06" w:rsidR="0020731C" w:rsidRDefault="0020731C" w:rsidP="005C5BB9">
      <w:pPr>
        <w:pStyle w:val="ListParagraph"/>
        <w:ind w:left="357"/>
        <w:jc w:val="center"/>
        <w:rPr>
          <w:rFonts w:ascii="Calibri Light" w:hAnsi="Calibri Light" w:cs="Calibri Light"/>
          <w:b/>
          <w:bCs/>
          <w:color w:val="0070C0"/>
          <w:sz w:val="18"/>
          <w:szCs w:val="18"/>
          <w:lang w:val="en-US"/>
        </w:rPr>
      </w:pPr>
      <w:r w:rsidRPr="0020731C">
        <w:rPr>
          <w:rFonts w:ascii="Calibri Light" w:hAnsi="Calibri Light" w:cs="Calibri Light"/>
          <w:b/>
          <w:bCs/>
          <w:color w:val="0070C0"/>
          <w:sz w:val="18"/>
          <w:szCs w:val="18"/>
        </w:rPr>
        <w:t>(след 01.01.2026 г.)?</w:t>
      </w:r>
    </w:p>
    <w:p w14:paraId="5AE16727" w14:textId="77777777" w:rsidR="005C5BB9" w:rsidRPr="005C5BB9" w:rsidRDefault="005C5BB9" w:rsidP="005C5BB9">
      <w:pPr>
        <w:pStyle w:val="ListParagraph"/>
        <w:spacing w:after="0" w:line="240" w:lineRule="auto"/>
        <w:ind w:left="357"/>
        <w:jc w:val="center"/>
        <w:rPr>
          <w:rFonts w:ascii="Calibri Light" w:hAnsi="Calibri Light" w:cs="Calibri Light"/>
          <w:b/>
          <w:bCs/>
          <w:color w:val="0070C0"/>
          <w:sz w:val="18"/>
          <w:szCs w:val="18"/>
          <w:lang w:val="en-US"/>
        </w:rPr>
      </w:pPr>
    </w:p>
    <w:p w14:paraId="723EBAEE" w14:textId="77777777" w:rsidR="0020731C" w:rsidRPr="0020731C" w:rsidRDefault="0020731C" w:rsidP="0020731C">
      <w:pPr>
        <w:jc w:val="both"/>
        <w:rPr>
          <w:rFonts w:ascii="Calibri Light" w:hAnsi="Calibri Light" w:cs="Calibri Light"/>
          <w:color w:val="153D63" w:themeColor="text2" w:themeTint="E6"/>
          <w:sz w:val="18"/>
          <w:szCs w:val="18"/>
        </w:rPr>
      </w:pPr>
      <w:r w:rsidRPr="0020731C">
        <w:rPr>
          <w:rFonts w:ascii="Calibri Light" w:hAnsi="Calibri Light" w:cs="Calibri Light"/>
          <w:color w:val="153D63" w:themeColor="text2" w:themeTint="E6"/>
          <w:sz w:val="18"/>
          <w:szCs w:val="18"/>
        </w:rPr>
        <w:t xml:space="preserve">За </w:t>
      </w:r>
      <w:proofErr w:type="spellStart"/>
      <w:r w:rsidRPr="0020731C">
        <w:rPr>
          <w:rFonts w:ascii="Calibri Light" w:hAnsi="Calibri Light" w:cs="Calibri Light"/>
          <w:color w:val="153D63" w:themeColor="text2" w:themeTint="E6"/>
          <w:sz w:val="18"/>
          <w:szCs w:val="18"/>
        </w:rPr>
        <w:t>новосключените</w:t>
      </w:r>
      <w:proofErr w:type="spellEnd"/>
      <w:r w:rsidRPr="0020731C">
        <w:rPr>
          <w:rFonts w:ascii="Calibri Light" w:hAnsi="Calibri Light" w:cs="Calibri Light"/>
          <w:color w:val="153D63" w:themeColor="text2" w:themeTint="E6"/>
          <w:sz w:val="18"/>
          <w:szCs w:val="18"/>
        </w:rPr>
        <w:t xml:space="preserve"> договори с плаваща лихва като бенчмарк ще се прилага 3</w:t>
      </w:r>
      <w:r w:rsidRPr="0020731C">
        <w:rPr>
          <w:rFonts w:ascii="Cambria Math" w:hAnsi="Cambria Math" w:cs="Cambria Math"/>
          <w:color w:val="153D63" w:themeColor="text2" w:themeTint="E6"/>
          <w:sz w:val="18"/>
          <w:szCs w:val="18"/>
        </w:rPr>
        <w:t>‑</w:t>
      </w:r>
      <w:r w:rsidRPr="0020731C">
        <w:rPr>
          <w:rFonts w:ascii="Calibri Light" w:hAnsi="Calibri Light" w:cs="Calibri Light"/>
          <w:color w:val="153D63" w:themeColor="text2" w:themeTint="E6"/>
          <w:sz w:val="18"/>
          <w:szCs w:val="18"/>
        </w:rPr>
        <w:t>месечен EURIBOR. Актуализацията се извършва на всеки три месеца, на датата за лихвено преизчисление по договора. При временна липса на публикуване се прилага последната налична стойност. При значителна промяна или прекратяване на показателя се прилага алтернативна лихвена база съгласно Плана по чл. 28, §2 от Регламент (ЕС) 2016/1011.</w:t>
      </w:r>
    </w:p>
    <w:p w14:paraId="6B9635B1" w14:textId="77777777" w:rsidR="0020731C" w:rsidRPr="0020731C" w:rsidRDefault="0020731C" w:rsidP="0020731C">
      <w:pPr>
        <w:jc w:val="both"/>
        <w:rPr>
          <w:rFonts w:ascii="Calibri Light" w:hAnsi="Calibri Light" w:cs="Calibri Light"/>
          <w:color w:val="153D63" w:themeColor="text2" w:themeTint="E6"/>
          <w:sz w:val="18"/>
          <w:szCs w:val="18"/>
        </w:rPr>
      </w:pPr>
    </w:p>
    <w:p w14:paraId="3F54EAB5" w14:textId="77777777" w:rsidR="0020731C" w:rsidRPr="0020731C" w:rsidRDefault="0020731C" w:rsidP="005C5BB9">
      <w:pPr>
        <w:pStyle w:val="ListParagraph"/>
        <w:spacing w:after="0" w:line="240" w:lineRule="auto"/>
        <w:ind w:left="357"/>
        <w:jc w:val="center"/>
        <w:rPr>
          <w:color w:val="0070C0"/>
          <w:sz w:val="18"/>
          <w:szCs w:val="18"/>
        </w:rPr>
      </w:pPr>
      <w:r w:rsidRPr="0020731C">
        <w:rPr>
          <w:rFonts w:ascii="Calibri Light" w:hAnsi="Calibri Light" w:cs="Calibri Light"/>
          <w:b/>
          <w:bCs/>
          <w:color w:val="0070C0"/>
          <w:sz w:val="18"/>
          <w:szCs w:val="18"/>
        </w:rPr>
        <w:t>Какво се случва с лихвите по вече сключени договори</w:t>
      </w:r>
    </w:p>
    <w:p w14:paraId="7C96C39A" w14:textId="2E459AEB" w:rsidR="0020731C" w:rsidRDefault="0020731C" w:rsidP="005C5BB9">
      <w:pPr>
        <w:pStyle w:val="ListParagraph"/>
        <w:ind w:left="357"/>
        <w:jc w:val="center"/>
        <w:rPr>
          <w:rFonts w:ascii="Calibri Light" w:hAnsi="Calibri Light" w:cs="Calibri Light"/>
          <w:b/>
          <w:bCs/>
          <w:color w:val="0070C0"/>
          <w:sz w:val="18"/>
          <w:szCs w:val="18"/>
          <w:lang w:val="en-US"/>
        </w:rPr>
      </w:pPr>
      <w:r w:rsidRPr="0020731C">
        <w:rPr>
          <w:rFonts w:ascii="Calibri Light" w:hAnsi="Calibri Light" w:cs="Calibri Light"/>
          <w:b/>
          <w:bCs/>
          <w:color w:val="0070C0"/>
          <w:sz w:val="18"/>
          <w:szCs w:val="18"/>
        </w:rPr>
        <w:t>преди 01.01.2026 г.?</w:t>
      </w:r>
    </w:p>
    <w:p w14:paraId="5559BB1D" w14:textId="77777777" w:rsidR="005C5BB9" w:rsidRPr="005C5BB9" w:rsidRDefault="005C5BB9" w:rsidP="005C5BB9">
      <w:pPr>
        <w:pStyle w:val="ListParagraph"/>
        <w:spacing w:after="0" w:line="240" w:lineRule="auto"/>
        <w:ind w:left="357"/>
        <w:jc w:val="center"/>
        <w:rPr>
          <w:rFonts w:ascii="Calibri Light" w:hAnsi="Calibri Light" w:cs="Calibri Light"/>
          <w:b/>
          <w:bCs/>
          <w:color w:val="0070C0"/>
          <w:sz w:val="18"/>
          <w:szCs w:val="18"/>
          <w:lang w:val="en-US"/>
        </w:rPr>
      </w:pPr>
    </w:p>
    <w:p w14:paraId="3EDAF856" w14:textId="77777777" w:rsidR="0020731C" w:rsidRPr="0020731C" w:rsidRDefault="0020731C" w:rsidP="0020731C">
      <w:pPr>
        <w:jc w:val="both"/>
        <w:rPr>
          <w:rFonts w:ascii="Calibri Light" w:hAnsi="Calibri Light" w:cs="Calibri Light"/>
          <w:color w:val="153D63" w:themeColor="text2" w:themeTint="E6"/>
          <w:sz w:val="18"/>
          <w:szCs w:val="18"/>
        </w:rPr>
      </w:pPr>
      <w:r w:rsidRPr="0020731C">
        <w:rPr>
          <w:rFonts w:ascii="Calibri Light" w:hAnsi="Calibri Light" w:cs="Calibri Light"/>
          <w:color w:val="153D63" w:themeColor="text2" w:themeTint="E6"/>
          <w:sz w:val="18"/>
          <w:szCs w:val="18"/>
        </w:rPr>
        <w:t xml:space="preserve">Въвеждането на еврото не променя използваните </w:t>
      </w:r>
      <w:proofErr w:type="spellStart"/>
      <w:r w:rsidRPr="0020731C">
        <w:rPr>
          <w:rFonts w:ascii="Calibri Light" w:hAnsi="Calibri Light" w:cs="Calibri Light"/>
          <w:color w:val="153D63" w:themeColor="text2" w:themeTint="E6"/>
          <w:sz w:val="18"/>
          <w:szCs w:val="18"/>
        </w:rPr>
        <w:t>бенчмаркове</w:t>
      </w:r>
      <w:proofErr w:type="spellEnd"/>
      <w:r w:rsidRPr="0020731C">
        <w:rPr>
          <w:rFonts w:ascii="Calibri Light" w:hAnsi="Calibri Light" w:cs="Calibri Light"/>
          <w:color w:val="153D63" w:themeColor="text2" w:themeTint="E6"/>
          <w:sz w:val="18"/>
          <w:szCs w:val="18"/>
        </w:rPr>
        <w:t xml:space="preserve"> по заварените договори. </w:t>
      </w:r>
      <w:r w:rsidRPr="0020731C">
        <w:rPr>
          <w:rFonts w:ascii="Calibri Light" w:hAnsi="Calibri Light" w:cs="Calibri Light"/>
          <w:color w:val="153D63" w:themeColor="text2" w:themeTint="E6"/>
          <w:sz w:val="18"/>
          <w:szCs w:val="18"/>
          <w:lang w:val="en-US"/>
        </w:rPr>
        <w:t>EURIBOR</w:t>
      </w:r>
      <w:r w:rsidRPr="0020731C">
        <w:rPr>
          <w:rFonts w:ascii="Calibri Light" w:hAnsi="Calibri Light" w:cs="Calibri Light"/>
          <w:color w:val="153D63" w:themeColor="text2" w:themeTint="E6"/>
          <w:sz w:val="18"/>
          <w:szCs w:val="18"/>
          <w:lang w:val="ru-RU"/>
        </w:rPr>
        <w:t xml:space="preserve">, </w:t>
      </w:r>
      <w:r w:rsidRPr="0020731C">
        <w:rPr>
          <w:rFonts w:ascii="Calibri Light" w:hAnsi="Calibri Light" w:cs="Calibri Light"/>
          <w:color w:val="153D63" w:themeColor="text2" w:themeTint="E6"/>
          <w:sz w:val="18"/>
          <w:szCs w:val="18"/>
        </w:rPr>
        <w:t xml:space="preserve">КЛП и РЛП продължават да се </w:t>
      </w:r>
      <w:r w:rsidRPr="0020731C">
        <w:rPr>
          <w:rFonts w:ascii="Calibri Light" w:hAnsi="Calibri Light" w:cs="Calibri Light"/>
          <w:color w:val="153D63" w:themeColor="text2" w:themeTint="E6"/>
          <w:sz w:val="18"/>
          <w:szCs w:val="18"/>
        </w:rPr>
        <w:t>изчисляват и след 01.01.2026 г. Промяната е техническа и не води до по-неблагоприятни условия за клиента.</w:t>
      </w:r>
    </w:p>
    <w:p w14:paraId="4F17E856" w14:textId="77777777" w:rsidR="0020731C" w:rsidRPr="0020731C" w:rsidRDefault="0020731C" w:rsidP="0020731C">
      <w:pPr>
        <w:jc w:val="both"/>
        <w:rPr>
          <w:rFonts w:ascii="Calibri Light" w:hAnsi="Calibri Light" w:cs="Calibri Light"/>
          <w:color w:val="153D63" w:themeColor="text2" w:themeTint="E6"/>
          <w:sz w:val="18"/>
          <w:szCs w:val="18"/>
          <w:lang w:val="ru-RU"/>
        </w:rPr>
      </w:pPr>
      <w:r w:rsidRPr="0020731C">
        <w:rPr>
          <w:rFonts w:ascii="Calibri Light" w:hAnsi="Calibri Light" w:cs="Calibri Light"/>
          <w:color w:val="153D63" w:themeColor="text2" w:themeTint="E6"/>
          <w:sz w:val="18"/>
          <w:szCs w:val="18"/>
        </w:rPr>
        <w:t xml:space="preserve">При </w:t>
      </w:r>
      <w:r w:rsidRPr="0020731C">
        <w:rPr>
          <w:rFonts w:ascii="Calibri Light" w:hAnsi="Calibri Light" w:cs="Calibri Light"/>
          <w:b/>
          <w:bCs/>
          <w:color w:val="153D63" w:themeColor="text2" w:themeTint="E6"/>
          <w:sz w:val="18"/>
          <w:szCs w:val="18"/>
        </w:rPr>
        <w:t>променлив лихвен процент</w:t>
      </w:r>
      <w:r w:rsidRPr="0020731C">
        <w:rPr>
          <w:rFonts w:ascii="Calibri Light" w:hAnsi="Calibri Light" w:cs="Calibri Light"/>
          <w:color w:val="153D63" w:themeColor="text2" w:themeTint="E6"/>
          <w:sz w:val="18"/>
          <w:szCs w:val="18"/>
        </w:rPr>
        <w:t xml:space="preserve"> актуализацията се извършва на първата предстояща договорна дата за лихвено преизчисление след 01.01.2026 г. Датата е индивидуална за всеки договор. При </w:t>
      </w:r>
      <w:r w:rsidRPr="0020731C">
        <w:rPr>
          <w:rFonts w:ascii="Calibri Light" w:hAnsi="Calibri Light" w:cs="Calibri Light"/>
          <w:b/>
          <w:bCs/>
          <w:color w:val="153D63" w:themeColor="text2" w:themeTint="E6"/>
          <w:sz w:val="18"/>
          <w:szCs w:val="18"/>
        </w:rPr>
        <w:t>фиксиран лихвен процент</w:t>
      </w:r>
      <w:r w:rsidRPr="0020731C">
        <w:rPr>
          <w:rFonts w:ascii="Calibri Light" w:hAnsi="Calibri Light" w:cs="Calibri Light"/>
          <w:color w:val="153D63" w:themeColor="text2" w:themeTint="E6"/>
          <w:sz w:val="18"/>
          <w:szCs w:val="18"/>
        </w:rPr>
        <w:t xml:space="preserve"> той остава непроменен. Актуализиран погасителен план в евро се предоставя при първата редовна актуализация.</w:t>
      </w:r>
    </w:p>
    <w:p w14:paraId="0F6D77B5" w14:textId="77777777" w:rsidR="0020731C" w:rsidRPr="0020731C" w:rsidRDefault="0020731C" w:rsidP="0020731C">
      <w:pPr>
        <w:jc w:val="both"/>
        <w:rPr>
          <w:rFonts w:ascii="Calibri Light" w:hAnsi="Calibri Light" w:cs="Calibri Light"/>
          <w:color w:val="153D63" w:themeColor="text2" w:themeTint="E6"/>
          <w:sz w:val="18"/>
          <w:szCs w:val="18"/>
          <w:lang w:val="en-US"/>
        </w:rPr>
      </w:pPr>
    </w:p>
    <w:p w14:paraId="1F50B39C" w14:textId="77777777" w:rsidR="0020731C" w:rsidRDefault="0020731C" w:rsidP="0020731C">
      <w:pPr>
        <w:jc w:val="center"/>
        <w:rPr>
          <w:rFonts w:ascii="Calibri Light" w:hAnsi="Calibri Light" w:cs="Calibri Light"/>
          <w:b/>
          <w:bCs/>
          <w:color w:val="0070C0"/>
          <w:sz w:val="18"/>
          <w:szCs w:val="18"/>
          <w:lang w:val="en-US"/>
        </w:rPr>
      </w:pPr>
      <w:r w:rsidRPr="0020731C">
        <w:rPr>
          <w:rFonts w:ascii="Calibri Light" w:hAnsi="Calibri Light" w:cs="Calibri Light"/>
          <w:b/>
          <w:bCs/>
          <w:color w:val="0070C0"/>
          <w:sz w:val="18"/>
          <w:szCs w:val="18"/>
          <w:lang w:val="ru-RU"/>
        </w:rPr>
        <w:t>3</w:t>
      </w:r>
      <w:r w:rsidRPr="0020731C">
        <w:rPr>
          <w:rFonts w:ascii="Calibri Light" w:hAnsi="Calibri Light" w:cs="Calibri Light"/>
          <w:b/>
          <w:bCs/>
          <w:color w:val="0070C0"/>
          <w:sz w:val="18"/>
          <w:szCs w:val="18"/>
        </w:rPr>
        <w:t>. Какво се случва, ако използваният лихвен индекс бъде променен или прекратен?</w:t>
      </w:r>
    </w:p>
    <w:p w14:paraId="20E6C235" w14:textId="77777777" w:rsidR="0020731C" w:rsidRPr="0020731C" w:rsidRDefault="0020731C" w:rsidP="0020731C">
      <w:pPr>
        <w:spacing w:after="0" w:line="240" w:lineRule="auto"/>
        <w:jc w:val="center"/>
        <w:rPr>
          <w:rFonts w:ascii="Calibri Light" w:hAnsi="Calibri Light" w:cs="Calibri Light"/>
          <w:b/>
          <w:bCs/>
          <w:color w:val="0070C0"/>
          <w:sz w:val="18"/>
          <w:szCs w:val="18"/>
          <w:lang w:val="en-US"/>
        </w:rPr>
      </w:pPr>
    </w:p>
    <w:p w14:paraId="760739DE" w14:textId="77777777" w:rsidR="0020731C" w:rsidRPr="0020731C" w:rsidRDefault="0020731C" w:rsidP="0020731C">
      <w:pPr>
        <w:jc w:val="both"/>
        <w:rPr>
          <w:rFonts w:ascii="Calibri Light" w:hAnsi="Calibri Light" w:cs="Calibri Light"/>
          <w:color w:val="153D63" w:themeColor="text2" w:themeTint="E6"/>
          <w:sz w:val="18"/>
          <w:szCs w:val="18"/>
        </w:rPr>
      </w:pPr>
      <w:r w:rsidRPr="0020731C">
        <w:rPr>
          <w:rFonts w:ascii="Calibri Light" w:hAnsi="Calibri Light" w:cs="Calibri Light"/>
          <w:color w:val="153D63" w:themeColor="text2" w:themeTint="E6"/>
          <w:sz w:val="18"/>
          <w:szCs w:val="18"/>
        </w:rPr>
        <w:t>ОББ Интерлийз ЕАД прилага обновен План за действие при съществена промяна или прекратяване на използваните лихвени индекси по чл. 28, §2 от Регламент (ЕС) 2016/1011. Планът гарантира, че ако даден индекс вече не се публикува или претърпи значителна промяна, договорът Ви ще продължи да се изпълнява коректно.</w:t>
      </w:r>
    </w:p>
    <w:p w14:paraId="0E43DD75" w14:textId="77777777" w:rsidR="0020731C" w:rsidRPr="0020731C" w:rsidRDefault="0020731C" w:rsidP="0020731C">
      <w:pPr>
        <w:jc w:val="both"/>
        <w:rPr>
          <w:rFonts w:ascii="Calibri Light" w:hAnsi="Calibri Light" w:cs="Calibri Light"/>
          <w:color w:val="153D63" w:themeColor="text2" w:themeTint="E6"/>
          <w:sz w:val="18"/>
          <w:szCs w:val="18"/>
          <w:lang w:val="ru-RU"/>
        </w:rPr>
      </w:pPr>
      <w:r w:rsidRPr="0020731C">
        <w:rPr>
          <w:rFonts w:ascii="Calibri Light" w:hAnsi="Calibri Light" w:cs="Calibri Light"/>
          <w:color w:val="153D63" w:themeColor="text2" w:themeTint="E6"/>
          <w:sz w:val="18"/>
          <w:szCs w:val="18"/>
        </w:rPr>
        <w:t>Планът предвижда заместване на КЛП, РЛП или 3</w:t>
      </w:r>
      <w:r w:rsidRPr="0020731C">
        <w:rPr>
          <w:rFonts w:ascii="Cambria Math" w:hAnsi="Cambria Math" w:cs="Cambria Math"/>
          <w:color w:val="153D63" w:themeColor="text2" w:themeTint="E6"/>
          <w:sz w:val="18"/>
          <w:szCs w:val="18"/>
        </w:rPr>
        <w:t>‑</w:t>
      </w:r>
      <w:r w:rsidRPr="0020731C">
        <w:rPr>
          <w:rFonts w:ascii="Calibri Light" w:hAnsi="Calibri Light" w:cs="Calibri Light"/>
          <w:color w:val="153D63" w:themeColor="text2" w:themeTint="E6"/>
          <w:sz w:val="18"/>
          <w:szCs w:val="18"/>
        </w:rPr>
        <w:t>месечния EURIBOR в следните случаи: временно отсъствие на публикувани стойности; съществена промяна; прекратяване на индекса. При липса на публикувана стойност на КЛП/РЛП се прилага последната налична. При продължителна липса показателят се заменя с алтернативна лихвена база, публикувана от ЕЦБ/ОББ, а ако липсва – с 3</w:t>
      </w:r>
      <w:r w:rsidRPr="0020731C">
        <w:rPr>
          <w:rFonts w:ascii="Cambria Math" w:hAnsi="Cambria Math" w:cs="Cambria Math"/>
          <w:color w:val="153D63" w:themeColor="text2" w:themeTint="E6"/>
          <w:sz w:val="18"/>
          <w:szCs w:val="18"/>
        </w:rPr>
        <w:t>‑</w:t>
      </w:r>
      <w:r w:rsidRPr="0020731C">
        <w:rPr>
          <w:rFonts w:ascii="Calibri Light" w:hAnsi="Calibri Light" w:cs="Calibri Light"/>
          <w:color w:val="153D63" w:themeColor="text2" w:themeTint="E6"/>
          <w:sz w:val="18"/>
          <w:szCs w:val="18"/>
        </w:rPr>
        <w:t>месечен EURIBOR. При промяна на EURIBOR могат да се използват: алтернативни индекси от водещи финансови сайтове, показатели на БНБ, или междубанкови котировки. Клиентите се уведомяват предварително при промяна.</w:t>
      </w:r>
    </w:p>
    <w:p w14:paraId="5C9382E1" w14:textId="77777777" w:rsidR="0020731C" w:rsidRPr="0020731C" w:rsidRDefault="0020731C" w:rsidP="0020731C">
      <w:pPr>
        <w:jc w:val="both"/>
        <w:rPr>
          <w:rFonts w:ascii="Calibri Light" w:hAnsi="Calibri Light" w:cs="Calibri Light"/>
          <w:color w:val="153D63" w:themeColor="text2" w:themeTint="E6"/>
          <w:sz w:val="18"/>
          <w:szCs w:val="18"/>
          <w:lang w:val="ru-RU"/>
        </w:rPr>
      </w:pPr>
    </w:p>
    <w:p w14:paraId="2210E67B" w14:textId="77777777" w:rsidR="0020731C" w:rsidRPr="0020731C" w:rsidRDefault="0020731C" w:rsidP="0020731C">
      <w:pPr>
        <w:jc w:val="center"/>
        <w:rPr>
          <w:rFonts w:ascii="Calibri Light" w:hAnsi="Calibri Light" w:cs="Calibri Light"/>
          <w:b/>
          <w:bCs/>
          <w:color w:val="0070C0"/>
          <w:sz w:val="18"/>
          <w:szCs w:val="18"/>
        </w:rPr>
      </w:pPr>
      <w:r w:rsidRPr="0020731C">
        <w:rPr>
          <w:rFonts w:ascii="Calibri Light" w:hAnsi="Calibri Light" w:cs="Calibri Light"/>
          <w:b/>
          <w:bCs/>
          <w:color w:val="0070C0"/>
          <w:sz w:val="18"/>
          <w:szCs w:val="18"/>
          <w:lang w:val="ru-RU"/>
        </w:rPr>
        <w:t>4</w:t>
      </w:r>
      <w:r w:rsidRPr="0020731C">
        <w:rPr>
          <w:rFonts w:ascii="Calibri Light" w:hAnsi="Calibri Light" w:cs="Calibri Light"/>
          <w:b/>
          <w:bCs/>
          <w:color w:val="0070C0"/>
          <w:sz w:val="18"/>
          <w:szCs w:val="18"/>
        </w:rPr>
        <w:t>. Допълнителна информация</w:t>
      </w:r>
    </w:p>
    <w:p w14:paraId="7D66B002" w14:textId="77777777" w:rsidR="0020731C" w:rsidRPr="0020731C" w:rsidRDefault="0020731C" w:rsidP="0020731C">
      <w:pPr>
        <w:jc w:val="both"/>
        <w:rPr>
          <w:rFonts w:ascii="Calibri Light" w:hAnsi="Calibri Light" w:cs="Calibri Light"/>
          <w:color w:val="153D63" w:themeColor="text2" w:themeTint="E6"/>
          <w:sz w:val="18"/>
          <w:szCs w:val="18"/>
        </w:rPr>
      </w:pPr>
      <w:r w:rsidRPr="0020731C">
        <w:rPr>
          <w:rFonts w:ascii="Calibri Light" w:hAnsi="Calibri Light" w:cs="Calibri Light"/>
          <w:color w:val="153D63" w:themeColor="text2" w:themeTint="E6"/>
          <w:sz w:val="18"/>
          <w:szCs w:val="18"/>
        </w:rPr>
        <w:t>Промяната във връзка с въвеждането на еврото е техническа и не влияе отрицателно върху Вашите договори. При бъдещи съществени промени на бенчмарк ОББ Интерлийз ЕАД ще Ви уведомява своевременно.</w:t>
      </w:r>
    </w:p>
    <w:p w14:paraId="6A61F2A3" w14:textId="77777777" w:rsidR="005C5BB9" w:rsidRDefault="0020731C" w:rsidP="005C5BB9">
      <w:pPr>
        <w:tabs>
          <w:tab w:val="left" w:pos="1656"/>
        </w:tabs>
        <w:jc w:val="both"/>
        <w:rPr>
          <w:rFonts w:ascii="Calibri Light" w:hAnsi="Calibri Light" w:cs="Calibri Light"/>
          <w:color w:val="153D63" w:themeColor="text2" w:themeTint="E6"/>
          <w:sz w:val="18"/>
          <w:szCs w:val="18"/>
          <w:lang w:val="en-US"/>
        </w:rPr>
      </w:pPr>
      <w:r w:rsidRPr="0020731C">
        <w:rPr>
          <w:rFonts w:ascii="Calibri Light" w:hAnsi="Calibri Light" w:cs="Calibri Light"/>
          <w:color w:val="153D63" w:themeColor="text2" w:themeTint="E6"/>
          <w:sz w:val="18"/>
          <w:szCs w:val="18"/>
        </w:rPr>
        <w:t>Банковите сметки за плащане не се променят. В случай че ползвате шаблони за плащане при обслужващата Ви банка или платежен оператор моля да следвате инструкциите им и при нужда да актуализирате стойностите им.</w:t>
      </w:r>
    </w:p>
    <w:p w14:paraId="48B3D150" w14:textId="0E298863" w:rsidR="0020731C" w:rsidRPr="0020731C" w:rsidRDefault="0020731C" w:rsidP="005C5BB9">
      <w:pPr>
        <w:tabs>
          <w:tab w:val="left" w:pos="1656"/>
        </w:tabs>
        <w:jc w:val="center"/>
        <w:rPr>
          <w:sz w:val="16"/>
          <w:szCs w:val="16"/>
          <w:lang w:val="en-US"/>
        </w:rPr>
      </w:pPr>
      <w:r>
        <w:rPr>
          <w:rFonts w:ascii="Calibri Light" w:hAnsi="Calibri Light" w:cs="Calibri Light"/>
          <w:color w:val="153D63" w:themeColor="text2" w:themeTint="E6"/>
          <w:sz w:val="16"/>
          <w:szCs w:val="16"/>
          <w:lang w:val="en-US"/>
        </w:rPr>
        <w:t>***</w:t>
      </w:r>
    </w:p>
    <w:sectPr w:rsidR="0020731C" w:rsidRPr="0020731C" w:rsidSect="0020731C">
      <w:type w:val="continuous"/>
      <w:pgSz w:w="11906" w:h="16838"/>
      <w:pgMar w:top="1417" w:right="566" w:bottom="1417" w:left="284" w:header="708"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43FD" w14:textId="77777777" w:rsidR="00551A22" w:rsidRDefault="00551A22" w:rsidP="0020731C">
      <w:pPr>
        <w:spacing w:after="0" w:line="240" w:lineRule="auto"/>
      </w:pPr>
      <w:r>
        <w:separator/>
      </w:r>
    </w:p>
  </w:endnote>
  <w:endnote w:type="continuationSeparator" w:id="0">
    <w:p w14:paraId="52D87419" w14:textId="77777777" w:rsidR="00551A22" w:rsidRDefault="00551A22" w:rsidP="0020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5F35" w14:textId="77777777" w:rsidR="00551A22" w:rsidRDefault="00551A22" w:rsidP="0020731C">
      <w:pPr>
        <w:spacing w:after="0" w:line="240" w:lineRule="auto"/>
      </w:pPr>
      <w:r>
        <w:separator/>
      </w:r>
    </w:p>
  </w:footnote>
  <w:footnote w:type="continuationSeparator" w:id="0">
    <w:p w14:paraId="2AA194E2" w14:textId="77777777" w:rsidR="00551A22" w:rsidRDefault="00551A22" w:rsidP="0020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5223" w14:textId="2DB1CCFC" w:rsidR="0020731C" w:rsidRDefault="0020731C">
    <w:pPr>
      <w:pStyle w:val="Header"/>
    </w:pPr>
    <w:r>
      <w:rPr>
        <w:noProof/>
      </w:rPr>
      <mc:AlternateContent>
        <mc:Choice Requires="wps">
          <w:drawing>
            <wp:anchor distT="0" distB="0" distL="0" distR="0" simplePos="0" relativeHeight="251659264" behindDoc="0" locked="0" layoutInCell="1" allowOverlap="1" wp14:anchorId="1911A250" wp14:editId="25E2378D">
              <wp:simplePos x="635" y="635"/>
              <wp:positionH relativeFrom="page">
                <wp:align>center</wp:align>
              </wp:positionH>
              <wp:positionV relativeFrom="page">
                <wp:align>top</wp:align>
              </wp:positionV>
              <wp:extent cx="423545" cy="357505"/>
              <wp:effectExtent l="0" t="0" r="14605" b="4445"/>
              <wp:wrapNone/>
              <wp:docPr id="556184539"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57505"/>
                      </a:xfrm>
                      <a:prstGeom prst="rect">
                        <a:avLst/>
                      </a:prstGeom>
                      <a:noFill/>
                      <a:ln>
                        <a:noFill/>
                      </a:ln>
                    </wps:spPr>
                    <wps:txbx>
                      <w:txbxContent>
                        <w:p w14:paraId="2523B415" w14:textId="65C05FDF"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1A250" id="_x0000_t202" coordsize="21600,21600" o:spt="202" path="m,l,21600r21600,l21600,xe">
              <v:stroke joinstyle="miter"/>
              <v:path gradientshapeok="t" o:connecttype="rect"/>
            </v:shapetype>
            <v:shape id="Text Box 4" o:spid="_x0000_s1026" type="#_x0000_t202" alt="Internal" style="position:absolute;margin-left:0;margin-top:0;width:33.3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" filled="f" stroked="f">
              <v:fill o:detectmouseclick="t"/>
              <v:textbox style="mso-fit-shape-to-text:t" inset="0,15pt,0,0">
                <w:txbxContent>
                  <w:p w14:paraId="2523B415" w14:textId="65C05FDF"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99FD" w14:textId="4B437C99" w:rsidR="0020731C" w:rsidRDefault="0020731C">
    <w:pPr>
      <w:pStyle w:val="Header"/>
    </w:pPr>
    <w:r>
      <w:rPr>
        <w:noProof/>
      </w:rPr>
      <mc:AlternateContent>
        <mc:Choice Requires="wps">
          <w:drawing>
            <wp:anchor distT="0" distB="0" distL="0" distR="0" simplePos="0" relativeHeight="251660288" behindDoc="0" locked="0" layoutInCell="1" allowOverlap="1" wp14:anchorId="770FCF86" wp14:editId="0E34403E">
              <wp:simplePos x="274320" y="449580"/>
              <wp:positionH relativeFrom="page">
                <wp:align>center</wp:align>
              </wp:positionH>
              <wp:positionV relativeFrom="page">
                <wp:align>top</wp:align>
              </wp:positionV>
              <wp:extent cx="423545" cy="357505"/>
              <wp:effectExtent l="0" t="0" r="14605" b="4445"/>
              <wp:wrapNone/>
              <wp:docPr id="2049624012"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57505"/>
                      </a:xfrm>
                      <a:prstGeom prst="rect">
                        <a:avLst/>
                      </a:prstGeom>
                      <a:noFill/>
                      <a:ln>
                        <a:noFill/>
                      </a:ln>
                    </wps:spPr>
                    <wps:txbx>
                      <w:txbxContent>
                        <w:p w14:paraId="2D3231E9" w14:textId="79B1729C"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FCF86" id="_x0000_t202" coordsize="21600,21600" o:spt="202" path="m,l,21600r21600,l21600,xe">
              <v:stroke joinstyle="miter"/>
              <v:path gradientshapeok="t" o:connecttype="rect"/>
            </v:shapetype>
            <v:shape id="Text Box 5" o:spid="_x0000_s1027" type="#_x0000_t202" alt="Internal" style="position:absolute;margin-left:0;margin-top:0;width:33.3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" filled="f" stroked="f">
              <v:fill o:detectmouseclick="t"/>
              <v:textbox style="mso-fit-shape-to-text:t" inset="0,15pt,0,0">
                <w:txbxContent>
                  <w:p w14:paraId="2D3231E9" w14:textId="79B1729C"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DC08" w14:textId="4A65B228" w:rsidR="0020731C" w:rsidRDefault="0020731C">
    <w:pPr>
      <w:pStyle w:val="Header"/>
    </w:pPr>
    <w:r>
      <w:rPr>
        <w:noProof/>
      </w:rPr>
      <mc:AlternateContent>
        <mc:Choice Requires="wps">
          <w:drawing>
            <wp:anchor distT="0" distB="0" distL="0" distR="0" simplePos="0" relativeHeight="251658240" behindDoc="0" locked="0" layoutInCell="1" allowOverlap="1" wp14:anchorId="3A7083DF" wp14:editId="7678132C">
              <wp:simplePos x="635" y="635"/>
              <wp:positionH relativeFrom="page">
                <wp:align>center</wp:align>
              </wp:positionH>
              <wp:positionV relativeFrom="page">
                <wp:align>top</wp:align>
              </wp:positionV>
              <wp:extent cx="423545" cy="357505"/>
              <wp:effectExtent l="0" t="0" r="14605" b="4445"/>
              <wp:wrapNone/>
              <wp:docPr id="785656496"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57505"/>
                      </a:xfrm>
                      <a:prstGeom prst="rect">
                        <a:avLst/>
                      </a:prstGeom>
                      <a:noFill/>
                      <a:ln>
                        <a:noFill/>
                      </a:ln>
                    </wps:spPr>
                    <wps:txbx>
                      <w:txbxContent>
                        <w:p w14:paraId="0A7D4384" w14:textId="0293CAA4"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083DF" id="_x0000_t202" coordsize="21600,21600" o:spt="202" path="m,l,21600r21600,l21600,xe">
              <v:stroke joinstyle="miter"/>
              <v:path gradientshapeok="t" o:connecttype="rect"/>
            </v:shapetype>
            <v:shape id="Text Box 3" o:spid="_x0000_s1028" type="#_x0000_t202" alt="Internal" style="position:absolute;margin-left:0;margin-top:0;width:33.3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" filled="f" stroked="f">
              <v:fill o:detectmouseclick="t"/>
              <v:textbox style="mso-fit-shape-to-text:t" inset="0,15pt,0,0">
                <w:txbxContent>
                  <w:p w14:paraId="0A7D4384" w14:textId="0293CAA4"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7E9B"/>
    <w:multiLevelType w:val="hybridMultilevel"/>
    <w:tmpl w:val="9F1445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58985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1C"/>
    <w:rsid w:val="001D3077"/>
    <w:rsid w:val="0020731C"/>
    <w:rsid w:val="0035190D"/>
    <w:rsid w:val="00551A22"/>
    <w:rsid w:val="005C5BB9"/>
    <w:rsid w:val="006430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7DA0"/>
  <w15:chartTrackingRefBased/>
  <w15:docId w15:val="{9A9FD678-98F7-4482-9E6F-240620AB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31C"/>
    <w:rPr>
      <w:rFonts w:eastAsiaTheme="majorEastAsia" w:cstheme="majorBidi"/>
      <w:color w:val="272727" w:themeColor="text1" w:themeTint="D8"/>
    </w:rPr>
  </w:style>
  <w:style w:type="paragraph" w:styleId="Title">
    <w:name w:val="Title"/>
    <w:basedOn w:val="Normal"/>
    <w:next w:val="Normal"/>
    <w:link w:val="TitleChar"/>
    <w:uiPriority w:val="10"/>
    <w:qFormat/>
    <w:rsid w:val="00207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31C"/>
    <w:pPr>
      <w:spacing w:before="160"/>
      <w:jc w:val="center"/>
    </w:pPr>
    <w:rPr>
      <w:i/>
      <w:iCs/>
      <w:color w:val="404040" w:themeColor="text1" w:themeTint="BF"/>
    </w:rPr>
  </w:style>
  <w:style w:type="character" w:customStyle="1" w:styleId="QuoteChar">
    <w:name w:val="Quote Char"/>
    <w:basedOn w:val="DefaultParagraphFont"/>
    <w:link w:val="Quote"/>
    <w:uiPriority w:val="29"/>
    <w:rsid w:val="0020731C"/>
    <w:rPr>
      <w:i/>
      <w:iCs/>
      <w:color w:val="404040" w:themeColor="text1" w:themeTint="BF"/>
    </w:rPr>
  </w:style>
  <w:style w:type="paragraph" w:styleId="ListParagraph">
    <w:name w:val="List Paragraph"/>
    <w:basedOn w:val="Normal"/>
    <w:uiPriority w:val="34"/>
    <w:qFormat/>
    <w:rsid w:val="0020731C"/>
    <w:pPr>
      <w:ind w:left="720"/>
      <w:contextualSpacing/>
    </w:pPr>
  </w:style>
  <w:style w:type="character" w:styleId="IntenseEmphasis">
    <w:name w:val="Intense Emphasis"/>
    <w:basedOn w:val="DefaultParagraphFont"/>
    <w:uiPriority w:val="21"/>
    <w:qFormat/>
    <w:rsid w:val="0020731C"/>
    <w:rPr>
      <w:i/>
      <w:iCs/>
      <w:color w:val="0F4761" w:themeColor="accent1" w:themeShade="BF"/>
    </w:rPr>
  </w:style>
  <w:style w:type="paragraph" w:styleId="IntenseQuote">
    <w:name w:val="Intense Quote"/>
    <w:basedOn w:val="Normal"/>
    <w:next w:val="Normal"/>
    <w:link w:val="IntenseQuoteChar"/>
    <w:uiPriority w:val="30"/>
    <w:qFormat/>
    <w:rsid w:val="00207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31C"/>
    <w:rPr>
      <w:i/>
      <w:iCs/>
      <w:color w:val="0F4761" w:themeColor="accent1" w:themeShade="BF"/>
    </w:rPr>
  </w:style>
  <w:style w:type="character" w:styleId="IntenseReference">
    <w:name w:val="Intense Reference"/>
    <w:basedOn w:val="DefaultParagraphFont"/>
    <w:uiPriority w:val="32"/>
    <w:qFormat/>
    <w:rsid w:val="0020731C"/>
    <w:rPr>
      <w:b/>
      <w:bCs/>
      <w:smallCaps/>
      <w:color w:val="0F4761" w:themeColor="accent1" w:themeShade="BF"/>
      <w:spacing w:val="5"/>
    </w:rPr>
  </w:style>
  <w:style w:type="paragraph" w:styleId="Header">
    <w:name w:val="header"/>
    <w:basedOn w:val="Normal"/>
    <w:link w:val="HeaderChar"/>
    <w:uiPriority w:val="99"/>
    <w:unhideWhenUsed/>
    <w:rsid w:val="002073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7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544</Words>
  <Characters>3146</Characters>
  <Application>Microsoft Office Word</Application>
  <DocSecurity>0</DocSecurity>
  <Lines>121</Lines>
  <Paragraphs>22</Paragraphs>
  <ScaleCrop>false</ScaleCrop>
  <Company>UBB</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Vacheva</dc:creator>
  <cp:keywords/>
  <dc:description/>
  <cp:lastModifiedBy>Evgenia Vacheva</cp:lastModifiedBy>
  <cp:revision>2</cp:revision>
  <dcterms:created xsi:type="dcterms:W3CDTF">2026-03-13T15:26:00Z</dcterms:created>
  <dcterms:modified xsi:type="dcterms:W3CDTF">2026-03-13T15:36:00Z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2ed42ab0,2126b3db,7a2ac7cc</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y fmtid="{D5CDD505-2E9C-101B-9397-08002B2CF9AE}" pid="5" name="MSIP_Label_d44a7eb9-e308-4cb8-ad88-b50d70445f3a_Enabled">
    <vt:lpwstr>true</vt:lpwstr>
  </property>
  <property fmtid="{D5CDD505-2E9C-101B-9397-08002B2CF9AE}" pid="6" name="MSIP_Label_d44a7eb9-e308-4cb8-ad88-b50d70445f3a_SetDate">
    <vt:lpwstr>2026-03-13T15:34:47Z</vt:lpwstr>
  </property>
  <property fmtid="{D5CDD505-2E9C-101B-9397-08002B2CF9AE}" pid="7" name="MSIP_Label_d44a7eb9-e308-4cb8-ad88-b50d70445f3a_Method">
    <vt:lpwstr>Privileged</vt:lpwstr>
  </property>
  <property fmtid="{D5CDD505-2E9C-101B-9397-08002B2CF9AE}" pid="8" name="MSIP_Label_d44a7eb9-e308-4cb8-ad88-b50d70445f3a_Name">
    <vt:lpwstr>d44a7eb9-e308-4cb8-ad88-b50d70445f3a</vt:lpwstr>
  </property>
  <property fmtid="{D5CDD505-2E9C-101B-9397-08002B2CF9AE}" pid="9" name="MSIP_Label_d44a7eb9-e308-4cb8-ad88-b50d70445f3a_SiteId">
    <vt:lpwstr>64af2aee-7d6c-49ac-a409-192d3fee73b8</vt:lpwstr>
  </property>
  <property fmtid="{D5CDD505-2E9C-101B-9397-08002B2CF9AE}" pid="10" name="MSIP_Label_d44a7eb9-e308-4cb8-ad88-b50d70445f3a_ActionId">
    <vt:lpwstr>694f5d4c-bd8d-44de-abb7-18d84d5fda58</vt:lpwstr>
  </property>
  <property fmtid="{D5CDD505-2E9C-101B-9397-08002B2CF9AE}" pid="11" name="MSIP_Label_d44a7eb9-e308-4cb8-ad88-b50d70445f3a_ContentBits">
    <vt:lpwstr>1</vt:lpwstr>
  </property>
  <property fmtid="{D5CDD505-2E9C-101B-9397-08002B2CF9AE}" pid="12" name="MSIP_Label_d44a7eb9-e308-4cb8-ad88-b50d70445f3a_Tag">
    <vt:lpwstr>10, 0, 1, 1</vt:lpwstr>
  </property>
</Properties>
</file>